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38" w:rsidRPr="00B62B38" w:rsidRDefault="00B62B38" w:rsidP="00B62B38">
      <w:pPr>
        <w:shd w:val="clear" w:color="auto" w:fill="FFFFFF"/>
        <w:spacing w:before="48"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en-US" w:eastAsia="ru-RU"/>
        </w:rPr>
        <w:t>Literature</w:t>
      </w:r>
    </w:p>
    <w:p w:rsidR="003B20B1" w:rsidRDefault="003B20B1" w:rsidP="003B20B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2B38" w:rsidRPr="00B62B38" w:rsidTr="005B68BE">
        <w:tc>
          <w:tcPr>
            <w:tcW w:w="4785" w:type="dxa"/>
            <w:hideMark/>
          </w:tcPr>
          <w:p w:rsidR="00B62B38" w:rsidRPr="00B62B38" w:rsidRDefault="00B62B38" w:rsidP="005B68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 links</w:t>
            </w:r>
          </w:p>
        </w:tc>
        <w:tc>
          <w:tcPr>
            <w:tcW w:w="4786" w:type="dxa"/>
          </w:tcPr>
          <w:p w:rsidR="00B62B38" w:rsidRPr="00714364" w:rsidRDefault="00B62B38" w:rsidP="005B6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http://www.litmir.me/bd/?b=307570</w:t>
            </w:r>
          </w:p>
          <w:p w:rsidR="00B62B38" w:rsidRPr="00714364" w:rsidRDefault="00B62B38" w:rsidP="005B68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5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Clearing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clouds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of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uncertainty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</w:t>
      </w:r>
      <w:bookmarkStart w:id="0" w:name="_GoBack"/>
      <w:bookmarkEnd w:id="0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IBS.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E-Government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. Современные технологии государственного управления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июнь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Meta Group. Enterprise Architecture Desk Reference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S.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Overby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6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The Future of Jobs and Innovation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Dec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15 2003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Issue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of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CIO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Magazine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Stack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7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Managing Enterprise Architecture Artifacts and Assets, </w:t>
        </w:r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презентация</w:t>
        </w:r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</w:t>
        </w:r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на</w:t>
        </w:r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Enterprise Architect Summit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June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P.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Helland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8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Metropolis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Microsoft Architects Journal, Journal 2, April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Preparing for the Upswing: The 2004 CIO Agenda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March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2004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EXP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Premier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Report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Giovinazzo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M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9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Business Architecture: Aligning business and IT Strategies l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Driving Enterprise Agility with enterprise IT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COM-19-4566,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A.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Drobik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The Gartner definition for the Real-Time enterprise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Research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Note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COM-18-3057,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T.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Friedman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Data Warehouse Infrastructure: Providing Flexibility for Inevitable Change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Gartner Business Intelligence Conference, Amsterdam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Б.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Позин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ИТ-катализатор успешности бизнеса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Сетевой журнал 7'2003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E-Government Architecture: Development and Governance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Strategy of Acceleration: Time to Change Culture and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Коллинз Джим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От хорошего к великому. Почему одни компании совершают прорыв, а другие нет...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Стокгольмская школа экономики в Санкт-Петербурге, 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Enterprise Architecture: Fart Too Important to Be Left to the IT Team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C.K. and Krishnan, M.S,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Prahalad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10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The Dynamic Synchronization of Strategy and Information Technology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An article from MIT Sloan Management Review Summer 2002, Volume 43, Number 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Microsoft Technology Strategy Consulting. Benefits Driven Approach to Strategy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Building on Benefits Management to Address the Challenges of IS/IT Strategy and Planning, 2000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19.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M.E,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Porter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Competitive Strategy: Techniques for Analyzing Industries and Competitors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New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York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: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Free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Press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1980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M.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Treacy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and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F.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Wiersema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The Discipline of Market Leaders: Choose Your Customers, narrow Your Focus, Dominate Your Market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Addison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Wesley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Longman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1994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21.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11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The Business Executive’s Guide to IT Architecture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Beath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, C., J., M, Ross,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Subramani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Synchronizing IT Management Practices for Business Value, Sloan School of Management Massachusetts Institute of Technology Research Briefing, July 2002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Ross, J.,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Beath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, C.,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Subramani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, M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Farell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D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The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Real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New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Economy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Harvard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Business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Review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2003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October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Curtis G.,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Goyal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D and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Holtschke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B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Paradox lost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Accenture Information Technology Outlook, 2004, Number 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IT Forecasts: Spending Recovery in Most Vertical –Markets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Gartner Dataquest Alert ITSV-WW-DA-0178,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Elsa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Opitz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, Kevin White, Stephen Minton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Global </w:t>
      </w: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IT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Economic Outlook, 2Q04.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Study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#31738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IDC,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August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Vertical Markets Gain Momentum in 2004 IT Spending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Dataquest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Eastern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Europe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: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Country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Segmentation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lastRenderedPageBreak/>
        <w:t>Gartner HARD-WW-DP-0146, 2001 200D-DP-0146RD-WW-DP-0146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29.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2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Internet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как бизнес (статья)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Л. Григорьев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3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Информационные технологии: проблемы развития отрасли в России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31.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4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Потребление основных видов ИКТ российскими организациями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32.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15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2002 IT Spending and Staffing Survey Results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R-18-6281,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Broadbent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M,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Weill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P.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Leveraging the Infrastructure.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How Market Leaders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Capitilize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on Information technologies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Harvard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Business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School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Press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1998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34.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16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Federal Enterprise Architecture: realigning IT to Efficiently Achieve Agency Goals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B.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Gomolski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17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2003 IT Spending and Staffing Survey Results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Gartner Strategic Analysis Report R-21-2290,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L.A.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Sechrest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CIO Update: Use Creative Cost containment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IGG-10012003-01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Журнал «Финансовый директор» №7,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Carr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Nicholas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G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IT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Doesn’t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Matter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Harvard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Business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Review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May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Curtis G., Page S. and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Kaltenmark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K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Thinking bigger.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Accenture Information Technology Outlook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 xml:space="preserve">2003,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Number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Mark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D.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and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Monnoyer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Next Generation CIOs.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The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MvcKinsey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Quarterly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Web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exclusive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Kuly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Three Laws of IT Converge to Define the Future of Business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G2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Report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42.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8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Understanding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Gartner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Hype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Cycles</w:t>
        </w:r>
        <w:proofErr w:type="spellEnd"/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B.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Kirwin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Enterprise Personality Profile: How Did We Get Here?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COM-22-3093,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D.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Morello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al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9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Introducing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the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Enterprise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Personality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Profile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AV-22-2193,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GAO.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</w:t>
      </w: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Information Technology.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Leadership Remains Key to Agencies making Progress on Enterprise Architecture Efforts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2003.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J,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Schekkerman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20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Strategic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Governance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&amp;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amp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;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Enterprise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Architecture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Enterprising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EA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Survey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Return on Investment Methodology for Evaluating E-Business Infrastructure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Giga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Hype Cycle Shows E-Government Overcoming Disillusionment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Structure Architecture to Win Business Buy-In/Compliance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50.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21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Gartner</w:t>
        </w:r>
        <w:proofErr w:type="spellEnd"/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E.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Rechtin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System Architecting: Creating and building complex systems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Prentice-Hall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1991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52.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22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Buliding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the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enterpise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architecture: The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Popkin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process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1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B.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Monin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23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Practical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SAFE 2003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The Pillars of Enterprise Architecture Terminology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Giga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What Do IT Architects Do?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Data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101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Giga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2000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CIO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Council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A Practical Guide to Federal Enterprise Architecture 2001 February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G.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Muller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24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Architectural reasoning; balancing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genericity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and Specificity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Embedded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Systems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Institute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Bredemeyer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D.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al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25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Enterprise Architecture as Business Capabilities Architecture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W.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Appel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26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Enterprise Architecture: An In-Depth Study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Buchanan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R.,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Soley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R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27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Aligning Enterprise Architecture and IT Investments with Corporate Goals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S.Haeckel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Adaptive Enterprise: creating and leading sense-and-respond organizations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Harvard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Business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School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Press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1999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Spewak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, Steven H. with Steven C. Hill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Enterprise Architecture Planning, Developing a Blueprint for Data, Applications and Technology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John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Wiley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&amp;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Sons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Inc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., 1992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3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66.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28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Virginia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Information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Technology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Agency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Information Technology Resource Management Policy,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Михайловский Н. Э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Архитектура информационной системы, оценка рисков и совокупная стоимость владения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Директор ИС #06/2002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Галактионов</w:t>
      </w: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</w:t>
      </w:r>
      <w:proofErr w:type="gram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29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Системная архитектура и ее место в архитектуре предприятия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Директор ИС, №5,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CIO Council. </w:t>
      </w: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Federal Enterprise Architecture Framework.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Version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1.1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1999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September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59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55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E-Government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Cooperative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Service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lastRenderedPageBreak/>
        <w:t xml:space="preserve">The Impact of Software Ecosystems on </w:t>
      </w: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IT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Application Architecture Standards/Guidelines: Case Study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Short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K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0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Modelling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Languages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for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Distributed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Applications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Business Models: The Architecture That Pays for Itself.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Business Processes: A Compass for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33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79.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31" w:tgtFrame="_blank" w:history="1">
        <w:proofErr w:type="gram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Industry Advisory Council (IAC).</w:t>
        </w:r>
        <w:proofErr w:type="gram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Information and Data Reference Model (DRM)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Draft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Version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2.0, 2003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Business and IT Planning: A New Marriage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SPA-11-3914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81.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32" w:tgtFrame="_blank" w:history="1">
        <w:proofErr w:type="gram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State of North Carolina.</w:t>
        </w:r>
        <w:proofErr w:type="gram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The Office of Enterprise Technology Strategy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Data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Architecture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Technology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Overview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38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J.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Carbone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IT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Toolkit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Prentice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Hall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PTR,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IT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Planning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: A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New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Perspective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Ross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J.,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Weill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P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Distinctive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Style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of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IT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Sloan School of Management Massachusetts Institute of Technology, Research Briefing, Volume 2, Number 1A, February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What Is an Architecture Style?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87.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33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State of Maine Office of Chief Information Technology, Information Services Policy Board and Gartner Consulting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Strategic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Information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technology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Plan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M,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Platt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4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Microsoft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Architecture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Overview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2002(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July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Keen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P.G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Shaping the Future: Business Redesign through Information Technology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Boston: Harvard Business School Press, 1991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Волков</w:t>
      </w: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Д</w:t>
      </w:r>
      <w:proofErr w:type="gram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5" w:tgtFrame="_blank" w:history="1">
        <w:proofErr w:type="gram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ИТ</w:t>
        </w:r>
        <w:proofErr w:type="gram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в эпоху "демократизации"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"Открытые системы". №10,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91.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36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Organic IT 2004: Cut IT Costs, Speed </w:t>
        </w:r>
        <w:proofErr w:type="gram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Up</w:t>
        </w:r>
        <w:proofErr w:type="gram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Business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D.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Scott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Th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. J.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Bittman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Real-Time Infrastructure: Vision and Progress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AV-20-3055,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D.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Scott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Architecting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the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Real-Time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Infrastructure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SPA-20-0012,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А.А.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Мкртумян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А.С. Агапов, Н.Э. Михайловский, С.В.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Зенин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t>Оценка и аттестация процессов создания и сопровождения программных средств и информационных систем (ISO/IEC TR 15504-CMM)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М.: Книга и бизнес, 2001 – 348 c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Липаев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В.В. и </w:t>
      </w:r>
      <w:proofErr w:type="spellStart"/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др</w:t>
      </w:r>
      <w:proofErr w:type="spellEnd"/>
      <w:proofErr w:type="gram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Применение международных стандартов в процессе разработки программных средств информационных систем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Российско-американское судебное партнерство, М. 2000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96.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7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Фонд поддержки системного проектирования, стандартизации и управления проектами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Jarvic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R,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Teale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P.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38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Business Patterns for Software Engineering Use – Part 1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Microsoft Architecture Journal, N 2, April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С. Alexander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A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Pattern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language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ISBN 0-1950-1919-9, N.Y., 1977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99.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9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IBM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Patterns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for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e-business</w:t>
        </w:r>
        <w:proofErr w:type="spellEnd"/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E.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Gamma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Design Patterns – Elements of Reusable Object-Oriented Software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ISBN 0-2016-3361-2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Patterns and Bricks Are an Architect’s Two Best Friends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Denmark Ministry of Science, Technology and Innovation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White paper on Enterprise Architecture,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103.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0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IBM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Enterprise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Solution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Patterns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Using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Microsoft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NET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Version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2.0,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Microsoft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105.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M.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and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M.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Burner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Mullender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1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Application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Architecture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: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Conceptual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View</w:t>
        </w:r>
        <w:proofErr w:type="spellEnd"/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2002(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July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Burbeck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S.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42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The Tao of E-Business Services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2000(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October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2000)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Introduction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to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Service-Oriented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Черняк Л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3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SOA – шаг за горизонт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"Открытые системы", №9,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109.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44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Planning and Building </w:t>
        </w:r>
        <w:proofErr w:type="gram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an Architecture</w:t>
        </w:r>
        <w:proofErr w:type="gram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 xml:space="preserve"> that Lasts: The Dynamic Enterprise Reference Architecture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67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Heffner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R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Standards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For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Enterprise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Forrester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Research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March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17, 2004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J.F. Sowa and J. A.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Zachman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Extending and Formalizing the Framework for Information Systems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IBM Systems Journal, vol. 31, no. 3, 1992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J.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Zachman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A Framework for Information Systems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IBM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Systems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Journal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26 (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3, 1987)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D.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Rudy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5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Erecting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the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Framework</w:t>
        </w:r>
        <w:proofErr w:type="spellEnd"/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115.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46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The framework for enterprise architectures: cell definitions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Е.Б.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Зиндер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7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3D-предприятие – схема архитектуры трансформирующейся системы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Директору информационной службы № 4, 2000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117.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8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Extended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Enterprise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Architecture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Framework</w:t>
        </w:r>
        <w:proofErr w:type="spellEnd"/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B.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Iyer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R.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Gottlieb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49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The Four-Domain Architecture: An approach to support enterprise architecture design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IBM Systems Journal.</w:t>
      </w:r>
      <w:proofErr w:type="gram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</w:t>
      </w: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43, No. 3, 2004, p. 587-97ol.</w:t>
      </w:r>
      <w:proofErr w:type="gram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</w:t>
      </w: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43,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3, 2004, p. 587-97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119.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B.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Rosser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D.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Lombardo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IT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Planning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: A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New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Perspective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Gartner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strategyc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analysis report R-14-5700, 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Enterprise Architecture Overview for Financial Services, Gartner,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Гейтс</w:t>
      </w: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Б</w:t>
      </w:r>
      <w:proofErr w:type="gram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Бизнес со скоростью мысли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Эксмо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2000 - 481 c.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M.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Cantara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Evaluating the Art and science of ESP Architecture Services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DF-20-7861,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3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META Group. Extending ETA to Services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META Group. Turing Tao: The Enterprise Technology Model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126.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50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TOGAF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Version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8: "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Enterprise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Edition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"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lastRenderedPageBreak/>
        <w:t>NASCIO.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Enterprise Architecture Development Tool-Kit v.2.0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2002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July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Kruchten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P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Architecture Blueprints – The "4+1" Model of Software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IEEE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Software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12(6),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November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1995,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pp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 42-50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129.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107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Jarvis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B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Enterprise Architecture – Understanding the Bigger Picture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National Computing Center, UK, May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98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Application Architecture for .NET: Designing Applications and Services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Microsoft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Microsoft.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</w:t>
      </w: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Enterprise Solutions Patterns using Microsoft .NET.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Version 2.0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134.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51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ISO/IEC 10746-3: Information technology – Open Distributed Processing – Reference Model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Geneva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1996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61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136.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52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http://www.extra.research.philips.com/natlab/sysarch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Sprung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53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Lessons Learned About Architecture: Unstructured and Eclectic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A.Akerman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, J. Tyree, L.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Coglianese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54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An Architectural Process for System Evolution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139.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Basic Elements of Enterprise Architecture Methodology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Giga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70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3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Leganza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G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Top-Down </w:t>
      </w: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Versus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Bottom-Up: Approaches To Enterprise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Enterprise Architecture and IT "City Planning"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112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Laartz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J.,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Sonderegger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and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Vinckier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J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The Paris guide to IT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The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McKinsey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Quarterly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2000,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November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6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G.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James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High-Level Architecture Models Give Enterprise Perspective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Research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Note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TU-21-1018, 2003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R.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Buchanan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55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A Framework for Change Management in Enterprise Architecture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META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Group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149.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49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A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Collaborative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Development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Model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Giga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151.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GAO.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</w:t>
      </w: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Electronic Government.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 xml:space="preserve"> Proposal Addresses Critical Challenges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2002,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September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18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152.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Management Update: Set Architectural Spending Levels According to Your needs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1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см. пункт 61 списка литературы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Альтшуллер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Г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Алгоритм изобретения, 2-е </w:t>
      </w:r>
      <w:proofErr w:type="spellStart"/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изд</w:t>
      </w:r>
      <w:proofErr w:type="spellEnd"/>
      <w:proofErr w:type="gram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М., 1973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Ильина Т.Н., Логинова А.</w:t>
      </w: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Ю</w:t>
      </w:r>
      <w:proofErr w:type="gram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Романов Д.А.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Правда</w:t>
      </w:r>
      <w:proofErr w:type="gram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об электронном документообороте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М.: ДМК Пресс, 2002. – 224с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Миронов А.Н., Михайловский О.М., Слюсаренко А.И. и </w:t>
      </w:r>
      <w:proofErr w:type="spellStart"/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др</w:t>
      </w:r>
      <w:proofErr w:type="spellEnd"/>
      <w:proofErr w:type="gram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Динамическое моделирование ИВС Госкомстата России, Отчет по контракту Бюро экономического анализа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2001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158.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Obtaining management Buy-In for Enterprise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159.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Six Building Blocks for creating Real IT Strategies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160.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G.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James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Enterprise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Without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Business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Support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Research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Note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QA-21-6734, 2004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161.</w:t>
      </w:r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56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http://iosapps2.ios.doi.gov/eiastuff.nsf/Architectural+Maturation+Worksheet?OpenPage</w:t>
        </w:r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162.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J.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Schekkerman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57" w:anchor="e2amm" w:tgtFrame="_blank" w:history="1"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Extended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Enterprise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Architecture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Maturity</w:t>
        </w:r>
        <w:proofErr w:type="spellEnd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eastAsia="ru-RU"/>
          </w:rPr>
          <w:t>Model</w:t>
        </w:r>
        <w:proofErr w:type="spellEnd"/>
      </w:hyperlink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163.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T.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Westbrock</w:t>
      </w:r>
      <w:proofErr w:type="spellEnd"/>
    </w:p>
    <w:p w:rsidR="003B20B1" w:rsidRPr="00714364" w:rsidRDefault="00BA1916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hyperlink r:id="rId58" w:tgtFrame="_blank" w:history="1">
        <w:r w:rsidR="003B20B1" w:rsidRPr="00714364">
          <w:rPr>
            <w:rStyle w:val="a4"/>
            <w:rFonts w:ascii="Times New Roman" w:eastAsia="Times New Roman" w:hAnsi="Times New Roman" w:cs="Times New Roman"/>
            <w:b/>
            <w:bCs/>
            <w:color w:val="0071A6"/>
            <w:sz w:val="28"/>
            <w:szCs w:val="28"/>
            <w:u w:val="none"/>
            <w:lang w:val="en-US" w:eastAsia="ru-RU"/>
          </w:rPr>
          <w:t>Architecture Process Maturity Revisited and Revised</w:t>
        </w:r>
      </w:hyperlink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META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Group</w:t>
      </w:r>
      <w:proofErr w:type="spellEnd"/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164.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R.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Schulte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Technology architecture: 'Bricks" of Enterprise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COM-17-1885, 2002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165.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Malan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Ruth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and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Bredemeyer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Dana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Less is More with Minimalist Architecture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</w:pP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IEEE Computer Society.</w:t>
      </w:r>
      <w:proofErr w:type="gram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 xml:space="preserve"> IT Professional</w:t>
      </w:r>
      <w:proofErr w:type="gram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;.</w:t>
      </w:r>
      <w:proofErr w:type="gram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val="en-US" w:eastAsia="ru-RU"/>
        </w:rPr>
        <w:t>2002, September-October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166.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J.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Schulman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Defining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'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Good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Enough</w:t>
      </w:r>
      <w:proofErr w:type="spellEnd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' </w:t>
      </w:r>
      <w:proofErr w:type="spellStart"/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Architecture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Research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Note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COM-20-2743</w:t>
      </w:r>
    </w:p>
    <w:p w:rsidR="003B20B1" w:rsidRPr="00714364" w:rsidRDefault="003B20B1" w:rsidP="003B20B1">
      <w:pPr>
        <w:numPr>
          <w:ilvl w:val="0"/>
          <w:numId w:val="1"/>
        </w:num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167.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J.Fenn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et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al</w:t>
      </w:r>
      <w:proofErr w:type="spellEnd"/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textAlignment w:val="top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</w:pPr>
      <w:r w:rsidRPr="00714364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ru-RU"/>
        </w:rPr>
        <w:t>Strategic Technology Planning: Picking the Winners</w:t>
      </w:r>
    </w:p>
    <w:p w:rsidR="003B20B1" w:rsidRPr="00714364" w:rsidRDefault="003B20B1" w:rsidP="003B20B1">
      <w:pPr>
        <w:shd w:val="clear" w:color="auto" w:fill="FFFFFF"/>
        <w:spacing w:after="75" w:line="300" w:lineRule="atLeast"/>
        <w:ind w:left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spellStart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Gartner</w:t>
      </w:r>
      <w:proofErr w:type="spellEnd"/>
      <w:r w:rsidRPr="0071436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К-20-3354, 2003</w:t>
      </w:r>
    </w:p>
    <w:p w:rsidR="00717551" w:rsidRPr="00714364" w:rsidRDefault="00B62B38">
      <w:pPr>
        <w:rPr>
          <w:rFonts w:ascii="Times New Roman" w:hAnsi="Times New Roman" w:cs="Times New Roman"/>
          <w:sz w:val="28"/>
          <w:szCs w:val="28"/>
        </w:rPr>
      </w:pPr>
    </w:p>
    <w:sectPr w:rsidR="00717551" w:rsidRPr="00714364" w:rsidSect="00BA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20B"/>
    <w:multiLevelType w:val="multilevel"/>
    <w:tmpl w:val="0BB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ED6"/>
    <w:rsid w:val="003B20B1"/>
    <w:rsid w:val="004A6454"/>
    <w:rsid w:val="004F6ED6"/>
    <w:rsid w:val="00523F16"/>
    <w:rsid w:val="00714364"/>
    <w:rsid w:val="00B62B38"/>
    <w:rsid w:val="00BA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2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2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i.ru/problems.asp?cat_ob_no=166&amp;amp;ob_no=241" TargetMode="External"/><Relationship Id="rId18" Type="http://schemas.openxmlformats.org/officeDocument/2006/relationships/hyperlink" Target="http://www.gartner.com/" TargetMode="External"/><Relationship Id="rId26" Type="http://schemas.openxmlformats.org/officeDocument/2006/relationships/hyperlink" Target="http://www.intuit.ru/www.eacommunity.com" TargetMode="External"/><Relationship Id="rId39" Type="http://schemas.openxmlformats.org/officeDocument/2006/relationships/hyperlink" Target="http://www-106.ibm.com/developerworks/patterns" TargetMode="External"/><Relationship Id="rId21" Type="http://schemas.openxmlformats.org/officeDocument/2006/relationships/hyperlink" Target="http://www.gartner.com/teleconferences/asset_62407_75.jsp" TargetMode="External"/><Relationship Id="rId34" Type="http://schemas.openxmlformats.org/officeDocument/2006/relationships/hyperlink" Target="http://msdn.microsoft.com/architecture" TargetMode="External"/><Relationship Id="rId42" Type="http://schemas.openxmlformats.org/officeDocument/2006/relationships/hyperlink" Target="http://www.ibm.com/software/developer/library/ws~tao/index.html" TargetMode="External"/><Relationship Id="rId47" Type="http://schemas.openxmlformats.org/officeDocument/2006/relationships/hyperlink" Target="http://www.sept.ru/gr24" TargetMode="External"/><Relationship Id="rId50" Type="http://schemas.openxmlformats.org/officeDocument/2006/relationships/hyperlink" Target="http://www.togaf.org/" TargetMode="External"/><Relationship Id="rId55" Type="http://schemas.openxmlformats.org/officeDocument/2006/relationships/hyperlink" Target="http://www.eacommunity.com/" TargetMode="External"/><Relationship Id="rId7" Type="http://schemas.openxmlformats.org/officeDocument/2006/relationships/hyperlink" Target="http://www.ftponline.com/e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acinstitute.org/" TargetMode="External"/><Relationship Id="rId20" Type="http://schemas.openxmlformats.org/officeDocument/2006/relationships/hyperlink" Target="http://www.enterprise-architecture.info/" TargetMode="External"/><Relationship Id="rId29" Type="http://schemas.openxmlformats.org/officeDocument/2006/relationships/hyperlink" Target="http://www.osp.ru/cio/2002/05/006_1.htm" TargetMode="External"/><Relationship Id="rId41" Type="http://schemas.openxmlformats.org/officeDocument/2006/relationships/hyperlink" Target="http://msdn.microsoft.com/architecture" TargetMode="External"/><Relationship Id="rId54" Type="http://schemas.openxmlformats.org/officeDocument/2006/relationships/hyperlink" Target="http://www.ftponline.com/ea/magazine/spring/features/aakerman/default_pf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o.com/archive/121203/jobfuture.html" TargetMode="External"/><Relationship Id="rId11" Type="http://schemas.openxmlformats.org/officeDocument/2006/relationships/hyperlink" Target="http://www.opengroup.org/architecture/togaf8-doc/arch/" TargetMode="External"/><Relationship Id="rId24" Type="http://schemas.openxmlformats.org/officeDocument/2006/relationships/hyperlink" Target="http://www.extra.research.philips.com/" TargetMode="External"/><Relationship Id="rId32" Type="http://schemas.openxmlformats.org/officeDocument/2006/relationships/hyperlink" Target="http://irm.state.nc.us/" TargetMode="External"/><Relationship Id="rId37" Type="http://schemas.openxmlformats.org/officeDocument/2006/relationships/hyperlink" Target="http://www.fostas.ru/confs/index.php" TargetMode="External"/><Relationship Id="rId40" Type="http://schemas.openxmlformats.org/officeDocument/2006/relationships/hyperlink" Target="http://www.ibm.com/software/developer/web/patterns" TargetMode="External"/><Relationship Id="rId45" Type="http://schemas.openxmlformats.org/officeDocument/2006/relationships/hyperlink" Target="http://www.ftponline.com/ea/magazine/spring/online/druby" TargetMode="External"/><Relationship Id="rId53" Type="http://schemas.openxmlformats.org/officeDocument/2006/relationships/hyperlink" Target="http://www3.telus.net/clayton_sprung/archlessons.htm" TargetMode="External"/><Relationship Id="rId58" Type="http://schemas.openxmlformats.org/officeDocument/2006/relationships/hyperlink" Target="http://www.eacommunity.com/" TargetMode="External"/><Relationship Id="rId5" Type="http://schemas.openxmlformats.org/officeDocument/2006/relationships/hyperlink" Target="http://www.butlergroup.com/" TargetMode="External"/><Relationship Id="rId15" Type="http://schemas.openxmlformats.org/officeDocument/2006/relationships/hyperlink" Target="http://www.gartner.com/research/attributes/attr_47450_115.pdf" TargetMode="External"/><Relationship Id="rId23" Type="http://schemas.openxmlformats.org/officeDocument/2006/relationships/hyperlink" Target="http://www.safe-house.org/SH-Book/safe-house-book.htm" TargetMode="External"/><Relationship Id="rId28" Type="http://schemas.openxmlformats.org/officeDocument/2006/relationships/hyperlink" Target="http://www.cots.state.va.us/ea/eacomp.htm" TargetMode="External"/><Relationship Id="rId36" Type="http://schemas.openxmlformats.org/officeDocument/2006/relationships/hyperlink" Target="http://www.forrester.com/" TargetMode="External"/><Relationship Id="rId49" Type="http://schemas.openxmlformats.org/officeDocument/2006/relationships/hyperlink" Target="http://www.research.ibm.com/journal/abstracts/sj/433/iyer.html" TargetMode="External"/><Relationship Id="rId57" Type="http://schemas.openxmlformats.org/officeDocument/2006/relationships/hyperlink" Target="http://www.enterprise-architecture.info/Images/Extended%20Enterprise/Extended%20Enterprise%20Architecture.htm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://mit-smr.com/past/2002/smr4342.html" TargetMode="External"/><Relationship Id="rId19" Type="http://schemas.openxmlformats.org/officeDocument/2006/relationships/hyperlink" Target="http://www.gartner.com/teleconferences/asset_63647_75.jsp" TargetMode="External"/><Relationship Id="rId31" Type="http://schemas.openxmlformats.org/officeDocument/2006/relationships/hyperlink" Target="http://www.ichnet.org/IAC_EA.htm" TargetMode="External"/><Relationship Id="rId44" Type="http://schemas.openxmlformats.org/officeDocument/2006/relationships/hyperlink" Target="http://www.doculabs.com/" TargetMode="External"/><Relationship Id="rId52" Type="http://schemas.openxmlformats.org/officeDocument/2006/relationships/hyperlink" Target="http://www.extra.research.philips.com/natlab/sysarch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pi-canada.com/pdw0203/presentations_e.shtm" TargetMode="External"/><Relationship Id="rId14" Type="http://schemas.openxmlformats.org/officeDocument/2006/relationships/hyperlink" Target="http://www.cnews.ru/2004/part2/consumption.shtml" TargetMode="External"/><Relationship Id="rId22" Type="http://schemas.openxmlformats.org/officeDocument/2006/relationships/hyperlink" Target="http://www.popkin.com/" TargetMode="External"/><Relationship Id="rId27" Type="http://schemas.openxmlformats.org/officeDocument/2006/relationships/hyperlink" Target="http://www.intuit.ru/www.enterprise-architecture.info" TargetMode="External"/><Relationship Id="rId30" Type="http://schemas.openxmlformats.org/officeDocument/2006/relationships/hyperlink" Target="http://msdn.microsoft.com/library" TargetMode="External"/><Relationship Id="rId35" Type="http://schemas.openxmlformats.org/officeDocument/2006/relationships/hyperlink" Target="http://www.osp.ru/os/2003/10/019.htm" TargetMode="External"/><Relationship Id="rId43" Type="http://schemas.openxmlformats.org/officeDocument/2006/relationships/hyperlink" Target="http://www.osp.ru/os/2003/09/034.htm" TargetMode="External"/><Relationship Id="rId48" Type="http://schemas.openxmlformats.org/officeDocument/2006/relationships/hyperlink" Target="http://www.enterprise-architecture.info/Images/E2AF/Extended%20Enterprise%20Architecture%20Framework%20Version%2008-2004.pdf" TargetMode="External"/><Relationship Id="rId56" Type="http://schemas.openxmlformats.org/officeDocument/2006/relationships/hyperlink" Target="http://iosapps2.ios.doi.gov/eiastuff.nsf/Architectural+Maturation+Worksheet?OpenPage" TargetMode="External"/><Relationship Id="rId8" Type="http://schemas.openxmlformats.org/officeDocument/2006/relationships/hyperlink" Target="http://msdn.microsoft.com/architecture/journ/" TargetMode="External"/><Relationship Id="rId51" Type="http://schemas.openxmlformats.org/officeDocument/2006/relationships/hyperlink" Target="http://iso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sp.ru/lan/2003/01/096.htm" TargetMode="External"/><Relationship Id="rId17" Type="http://schemas.openxmlformats.org/officeDocument/2006/relationships/hyperlink" Target="http://computing.arizona.edu/networkmasterplan/117666.pdf" TargetMode="External"/><Relationship Id="rId25" Type="http://schemas.openxmlformats.org/officeDocument/2006/relationships/hyperlink" Target="http://www.bredemeyer.com/" TargetMode="External"/><Relationship Id="rId33" Type="http://schemas.openxmlformats.org/officeDocument/2006/relationships/hyperlink" Target="http://www.state.me.us/CIO/ITstrat_plan/" TargetMode="External"/><Relationship Id="rId38" Type="http://schemas.openxmlformats.org/officeDocument/2006/relationships/hyperlink" Target="http://msdn.microsoft.com/architecture/journ/" TargetMode="External"/><Relationship Id="rId46" Type="http://schemas.openxmlformats.org/officeDocument/2006/relationships/hyperlink" Target="http://www.zifa.com/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2697</Words>
  <Characters>15378</Characters>
  <Application>Microsoft Office Word</Application>
  <DocSecurity>0</DocSecurity>
  <Lines>128</Lines>
  <Paragraphs>36</Paragraphs>
  <ScaleCrop>false</ScaleCrop>
  <Company>Microsoft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kobetz</cp:lastModifiedBy>
  <cp:revision>6</cp:revision>
  <dcterms:created xsi:type="dcterms:W3CDTF">2017-11-26T12:55:00Z</dcterms:created>
  <dcterms:modified xsi:type="dcterms:W3CDTF">2018-10-18T09:50:00Z</dcterms:modified>
</cp:coreProperties>
</file>